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</w:rPr>
        <w:t>附件4　　　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非煤矿山重点检查安排表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（生产经营单位1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tbl>
      <w:tblPr>
        <w:tblStyle w:val="7"/>
        <w:tblW w:w="13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653"/>
        <w:gridCol w:w="2808"/>
        <w:gridCol w:w="1887"/>
        <w:gridCol w:w="1337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 号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生产经营单位名称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责任单位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配合单位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检查时间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山西华兴铝业有限公司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涉及露天矿山、尾矿库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太原钢铁(集团)有限公司矿业分公司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峨口铁矿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（地下）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峨口</w:t>
            </w:r>
            <w:r>
              <w:rPr>
                <w:rFonts w:hint="eastAsia" w:ascii="宋体" w:hAnsi="宋体" w:cs="宋体"/>
                <w:sz w:val="20"/>
                <w:szCs w:val="20"/>
              </w:rPr>
              <w:t>铁矿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牛圈沟第一</w:t>
            </w:r>
            <w:r>
              <w:rPr>
                <w:rFonts w:hint="eastAsia" w:ascii="宋体" w:hAnsi="宋体" w:cs="宋体"/>
                <w:sz w:val="20"/>
                <w:szCs w:val="20"/>
              </w:rPr>
              <w:t>尾矿库）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坝高超过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200米</w:t>
            </w:r>
            <w:r>
              <w:rPr>
                <w:rFonts w:hint="eastAsia" w:ascii="宋体" w:hAnsi="宋体" w:cs="宋体"/>
                <w:sz w:val="20"/>
                <w:szCs w:val="20"/>
              </w:rPr>
              <w:t>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山西华兴铝业有限公司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（中国铝业兴县氧化铝项目赤泥库）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（第一氧化铝厂赤泥库）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中国铝业股份有限公司山西分公司孝义铝矿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（克俄矿区）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太原钢铁（集团）有限公司袁家村铁矿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涉及采场边坡高度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200米以上的露天矿山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北方铜业股份有限公司铜矿峪矿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国家电投山西铝业有限公司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宁武宽草坪铝土矿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中条山有色金属集团有限公司（总公司）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太原钢铁（集团）有限公司矿业分公司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尖山铁矿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涉及采场边坡高度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200米以上的露天矿山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46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北方铜业股份有限公司铜矿峪矿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（十八河尾矿库）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4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u w:val="none"/>
                <w:lang w:eastAsia="zh-CN"/>
              </w:rPr>
              <w:t>山西紫金矿业有限公司</w:t>
            </w: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3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涉地下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开采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800以下</w:t>
            </w:r>
            <w:r>
              <w:rPr>
                <w:rFonts w:hint="eastAsia" w:ascii="宋体" w:hAnsi="宋体" w:cs="宋体"/>
                <w:sz w:val="20"/>
                <w:szCs w:val="20"/>
              </w:rPr>
              <w:t>矿山</w:t>
            </w:r>
          </w:p>
        </w:tc>
      </w:tr>
    </w:tbl>
    <w:p>
      <w:pPr>
        <w:jc w:val="left"/>
        <w:rPr>
          <w:rFonts w:ascii="仿宋_GB2312" w:hAnsi="宋体"/>
          <w:bCs/>
        </w:rPr>
      </w:pPr>
    </w:p>
    <w:p>
      <w:pPr>
        <w:pStyle w:val="11"/>
        <w:rPr>
          <w:rFonts w:ascii="仿宋_GB2312" w:hAnsi="宋体"/>
          <w:bCs/>
        </w:rPr>
      </w:pPr>
    </w:p>
    <w:p>
      <w:pPr>
        <w:pStyle w:val="11"/>
        <w:rPr>
          <w:rFonts w:ascii="仿宋_GB2312" w:hAnsi="宋体"/>
          <w:bCs/>
        </w:rPr>
      </w:pPr>
    </w:p>
    <w:p>
      <w:pPr>
        <w:pStyle w:val="11"/>
        <w:rPr>
          <w:rFonts w:ascii="仿宋_GB2312" w:hAnsi="宋体"/>
          <w:bCs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</w:rPr>
      </w:pPr>
    </w:p>
    <w:sectPr>
      <w:footerReference r:id="rId3" w:type="default"/>
      <w:pgSz w:w="16783" w:h="11850" w:orient="landscape"/>
      <w:pgMar w:top="1531" w:right="1797" w:bottom="1531" w:left="1797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6D97205"/>
    <w:rsid w:val="095F0867"/>
    <w:rsid w:val="0BB78805"/>
    <w:rsid w:val="0F4E2118"/>
    <w:rsid w:val="0FB50F9A"/>
    <w:rsid w:val="135E76A8"/>
    <w:rsid w:val="139D985B"/>
    <w:rsid w:val="1500484C"/>
    <w:rsid w:val="15637A56"/>
    <w:rsid w:val="16F26943"/>
    <w:rsid w:val="17BFBE5D"/>
    <w:rsid w:val="17FFAB6D"/>
    <w:rsid w:val="1B00154A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2CC52A7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24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2022-03-10T00:57:49Z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E028FDE15B144CC39807D83D9DF4CE8C</vt:lpwstr>
  </property>
</Properties>
</file>